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E997" w14:textId="77777777" w:rsidR="00A17D81" w:rsidRDefault="00A17D81" w:rsidP="003305A7">
      <w:pPr>
        <w:jc w:val="center"/>
        <w:rPr>
          <w:rFonts w:asciiTheme="majorHAnsi" w:hAnsiTheme="majorHAnsi"/>
          <w:b/>
          <w:sz w:val="24"/>
        </w:rPr>
      </w:pPr>
      <w:r w:rsidRPr="00A17D81">
        <w:rPr>
          <w:rFonts w:asciiTheme="majorHAnsi" w:hAnsiTheme="majorHAnsi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EE899FA" wp14:editId="2C67DCBF">
            <wp:simplePos x="0" y="0"/>
            <wp:positionH relativeFrom="margin">
              <wp:align>center</wp:align>
            </wp:positionH>
            <wp:positionV relativeFrom="margin">
              <wp:posOffset>45720</wp:posOffset>
            </wp:positionV>
            <wp:extent cx="3222000" cy="745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 La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83E6A" w14:textId="77777777" w:rsidR="00A17D81" w:rsidRDefault="00A17D81" w:rsidP="003305A7">
      <w:pPr>
        <w:jc w:val="center"/>
        <w:rPr>
          <w:rFonts w:asciiTheme="majorHAnsi" w:hAnsiTheme="majorHAnsi"/>
          <w:b/>
          <w:sz w:val="24"/>
        </w:rPr>
      </w:pPr>
    </w:p>
    <w:p w14:paraId="47FF4C63" w14:textId="77777777" w:rsidR="00A17D81" w:rsidRDefault="00A17D81" w:rsidP="003305A7">
      <w:pPr>
        <w:jc w:val="center"/>
        <w:rPr>
          <w:rFonts w:asciiTheme="majorHAnsi" w:hAnsiTheme="majorHAnsi"/>
          <w:b/>
          <w:sz w:val="24"/>
        </w:rPr>
      </w:pPr>
    </w:p>
    <w:p w14:paraId="282250AD" w14:textId="77777777" w:rsidR="003305A7" w:rsidRPr="00AB5C8E" w:rsidRDefault="003305A7" w:rsidP="003305A7">
      <w:pPr>
        <w:jc w:val="center"/>
        <w:rPr>
          <w:rFonts w:ascii="Gotham Medium" w:hAnsi="Gotham Medium"/>
          <w:b/>
          <w:sz w:val="24"/>
        </w:rPr>
      </w:pPr>
      <w:r w:rsidRPr="00AB5C8E">
        <w:rPr>
          <w:rFonts w:ascii="Gotham Medium" w:hAnsi="Gotham Medium"/>
          <w:b/>
          <w:sz w:val="24"/>
        </w:rPr>
        <w:t xml:space="preserve">Mini-Pupillages </w:t>
      </w:r>
    </w:p>
    <w:p w14:paraId="477DC71A" w14:textId="77777777" w:rsidR="003305A7" w:rsidRPr="00AB5C8E" w:rsidRDefault="003305A7" w:rsidP="003305A7">
      <w:pPr>
        <w:jc w:val="center"/>
        <w:rPr>
          <w:rFonts w:ascii="Gotham Medium" w:hAnsi="Gotham Medium"/>
          <w:sz w:val="24"/>
        </w:rPr>
      </w:pPr>
    </w:p>
    <w:p w14:paraId="3F4C0A82" w14:textId="77777777" w:rsidR="003305A7" w:rsidRPr="00AB5C8E" w:rsidRDefault="003305A7" w:rsidP="003305A7">
      <w:pPr>
        <w:jc w:val="both"/>
        <w:rPr>
          <w:rFonts w:ascii="Gotham Medium" w:hAnsi="Gotham Medium"/>
          <w:b/>
          <w:sz w:val="24"/>
        </w:rPr>
      </w:pPr>
      <w:r w:rsidRPr="00AB5C8E">
        <w:rPr>
          <w:rFonts w:ascii="Gotham Medium" w:hAnsi="Gotham Medium"/>
          <w:b/>
          <w:sz w:val="24"/>
        </w:rPr>
        <w:t>Policy</w:t>
      </w:r>
    </w:p>
    <w:p w14:paraId="633C03CD" w14:textId="77777777" w:rsidR="003305A7" w:rsidRPr="00AB5C8E" w:rsidRDefault="003305A7" w:rsidP="003305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East Anglian Chambers operate</w:t>
      </w:r>
      <w:r w:rsidR="007A2D11" w:rsidRPr="00AB5C8E">
        <w:rPr>
          <w:rFonts w:ascii="Gotham Medium" w:hAnsi="Gotham Medium"/>
          <w:sz w:val="24"/>
        </w:rPr>
        <w:t>s</w:t>
      </w:r>
      <w:r w:rsidRPr="00AB5C8E">
        <w:rPr>
          <w:rFonts w:ascii="Gotham Medium" w:hAnsi="Gotham Medium"/>
          <w:sz w:val="24"/>
        </w:rPr>
        <w:t xml:space="preserve"> a year round mini-pupillage process to enable as many individuals interested in these chambers and/or a career at the Bar the opportunity to experience the work of a regional mixed practice set.  </w:t>
      </w:r>
    </w:p>
    <w:p w14:paraId="106AC2DE" w14:textId="77777777" w:rsidR="00A17D81" w:rsidRPr="00AB5C8E" w:rsidRDefault="00A17D81" w:rsidP="003305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 xml:space="preserve">Mini-pupillages are not assessed and do not form the basis of selection for 12 month pupillages.  Applicants should, however, be aware that </w:t>
      </w:r>
      <w:r w:rsidR="00694943" w:rsidRPr="00AB5C8E">
        <w:rPr>
          <w:rFonts w:ascii="Gotham Medium" w:hAnsi="Gotham Medium"/>
          <w:sz w:val="24"/>
        </w:rPr>
        <w:t>one</w:t>
      </w:r>
      <w:r w:rsidRPr="00AB5C8E">
        <w:rPr>
          <w:rFonts w:ascii="Gotham Medium" w:hAnsi="Gotham Medium"/>
          <w:sz w:val="24"/>
        </w:rPr>
        <w:t xml:space="preserve"> mark is available in the selection criteria for 12 month pupillages for demonstrating a commitment to the East Anglian region and/or chambers.   </w:t>
      </w:r>
    </w:p>
    <w:p w14:paraId="6AC267A2" w14:textId="77777777" w:rsidR="003305A7" w:rsidRPr="00AB5C8E" w:rsidRDefault="003305A7" w:rsidP="003305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Opportunities are normally for one week (four days if the week includes a bank holiday) and successful applicants are normally placed at their centre of choice.</w:t>
      </w:r>
    </w:p>
    <w:p w14:paraId="3F0E9967" w14:textId="77777777" w:rsidR="003305A7" w:rsidRPr="00AB5C8E" w:rsidRDefault="003305A7" w:rsidP="003305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During a typical week a mini-pupil can expect to attend court each day with a nominated barrister (normally, the barrister will change throughout the week); read papers; observe that barrister and others in court; discuss the case with the barrister and, where appropriate, attend chambers for the purposes of observing a conference.</w:t>
      </w:r>
    </w:p>
    <w:p w14:paraId="2E1FDF4F" w14:textId="75F779E2" w:rsidR="003305A7" w:rsidRPr="00AB5C8E" w:rsidRDefault="003305A7" w:rsidP="003305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There may be occasions where a mini-pupil is not permitted</w:t>
      </w:r>
      <w:r w:rsidR="007A2D11" w:rsidRPr="00AB5C8E">
        <w:rPr>
          <w:rFonts w:ascii="Gotham Medium" w:hAnsi="Gotham Medium"/>
          <w:sz w:val="24"/>
        </w:rPr>
        <w:t xml:space="preserve"> to sit in </w:t>
      </w:r>
      <w:r w:rsidR="00AB5C8E">
        <w:rPr>
          <w:rFonts w:ascii="Gotham Medium" w:hAnsi="Gotham Medium"/>
          <w:sz w:val="24"/>
        </w:rPr>
        <w:t xml:space="preserve">on </w:t>
      </w:r>
      <w:r w:rsidR="007A2D11" w:rsidRPr="00AB5C8E">
        <w:rPr>
          <w:rFonts w:ascii="Gotham Medium" w:hAnsi="Gotham Medium"/>
          <w:sz w:val="24"/>
        </w:rPr>
        <w:t>a private hearing.  All reasonable efforts will be made to ensure this is established in advance so that the mini-pupil may observe another barrister.</w:t>
      </w:r>
      <w:r w:rsidR="00A17D81" w:rsidRPr="00AB5C8E">
        <w:rPr>
          <w:rFonts w:ascii="Gotham Medium" w:hAnsi="Gotham Medium"/>
          <w:sz w:val="24"/>
        </w:rPr>
        <w:t xml:space="preserve">  Occasionally, this will </w:t>
      </w:r>
      <w:r w:rsidR="007A2D11" w:rsidRPr="00AB5C8E">
        <w:rPr>
          <w:rFonts w:ascii="Gotham Medium" w:hAnsi="Gotham Medium"/>
          <w:sz w:val="24"/>
        </w:rPr>
        <w:t xml:space="preserve">not be known until the parties are at court and a mini-pupil may be asked to withdraw.  In such circumstances, the clerking team will </w:t>
      </w:r>
      <w:r w:rsidR="00A17D81" w:rsidRPr="00AB5C8E">
        <w:rPr>
          <w:rFonts w:ascii="Gotham Medium" w:hAnsi="Gotham Medium"/>
          <w:sz w:val="24"/>
        </w:rPr>
        <w:t xml:space="preserve">endeavour to make alternative arrangements. </w:t>
      </w:r>
      <w:r w:rsidRPr="00AB5C8E">
        <w:rPr>
          <w:rFonts w:ascii="Gotham Medium" w:hAnsi="Gotham Medium"/>
          <w:sz w:val="24"/>
        </w:rPr>
        <w:t xml:space="preserve"> </w:t>
      </w:r>
    </w:p>
    <w:p w14:paraId="17C699D7" w14:textId="1F385D39" w:rsidR="003305A7" w:rsidRPr="00AB5C8E" w:rsidRDefault="003305A7" w:rsidP="003305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lastRenderedPageBreak/>
        <w:t>Mini-pupils are n</w:t>
      </w:r>
      <w:r w:rsidR="00AB5C8E">
        <w:rPr>
          <w:rFonts w:ascii="Gotham Medium" w:hAnsi="Gotham Medium"/>
          <w:sz w:val="24"/>
        </w:rPr>
        <w:t>ei</w:t>
      </w:r>
      <w:r w:rsidRPr="00AB5C8E">
        <w:rPr>
          <w:rFonts w:ascii="Gotham Medium" w:hAnsi="Gotham Medium"/>
          <w:sz w:val="24"/>
        </w:rPr>
        <w:t>t</w:t>
      </w:r>
      <w:r w:rsidR="00AB5C8E">
        <w:rPr>
          <w:rFonts w:ascii="Gotham Medium" w:hAnsi="Gotham Medium"/>
          <w:sz w:val="24"/>
        </w:rPr>
        <w:t>her</w:t>
      </w:r>
      <w:r w:rsidRPr="00AB5C8E">
        <w:rPr>
          <w:rFonts w:ascii="Gotham Medium" w:hAnsi="Gotham Medium"/>
          <w:sz w:val="24"/>
        </w:rPr>
        <w:t xml:space="preserve"> expected</w:t>
      </w:r>
      <w:r w:rsidR="007A2D11" w:rsidRPr="00AB5C8E">
        <w:rPr>
          <w:rFonts w:ascii="Gotham Medium" w:hAnsi="Gotham Medium"/>
          <w:sz w:val="24"/>
        </w:rPr>
        <w:t xml:space="preserve"> nor required</w:t>
      </w:r>
      <w:r w:rsidRPr="00AB5C8E">
        <w:rPr>
          <w:rFonts w:ascii="Gotham Medium" w:hAnsi="Gotham Medium"/>
          <w:sz w:val="24"/>
        </w:rPr>
        <w:t xml:space="preserve"> to travel beyond the location at which they are placed</w:t>
      </w:r>
      <w:r w:rsidR="007A2D11" w:rsidRPr="00AB5C8E">
        <w:rPr>
          <w:rFonts w:ascii="Gotham Medium" w:hAnsi="Gotham Medium"/>
          <w:sz w:val="24"/>
        </w:rPr>
        <w:t xml:space="preserve"> (i.e. Norwich, Ipswich or Chelmsford)</w:t>
      </w:r>
      <w:r w:rsidRPr="00AB5C8E">
        <w:rPr>
          <w:rFonts w:ascii="Gotham Medium" w:hAnsi="Gotham Medium"/>
          <w:sz w:val="24"/>
        </w:rPr>
        <w:t xml:space="preserve">.  The clerking team will endeavour to place </w:t>
      </w:r>
      <w:r w:rsidR="007A2D11" w:rsidRPr="00AB5C8E">
        <w:rPr>
          <w:rFonts w:ascii="Gotham Medium" w:hAnsi="Gotham Medium"/>
          <w:sz w:val="24"/>
        </w:rPr>
        <w:t>a mini-pupil with a barrister in a court local to their allocated centre but there</w:t>
      </w:r>
      <w:r w:rsidR="00A17D81" w:rsidRPr="00AB5C8E">
        <w:rPr>
          <w:rFonts w:ascii="Gotham Medium" w:hAnsi="Gotham Medium"/>
          <w:sz w:val="24"/>
        </w:rPr>
        <w:t xml:space="preserve"> may</w:t>
      </w:r>
      <w:r w:rsidR="007A2D11" w:rsidRPr="00AB5C8E">
        <w:rPr>
          <w:rFonts w:ascii="Gotham Medium" w:hAnsi="Gotham Medium"/>
          <w:sz w:val="24"/>
        </w:rPr>
        <w:t xml:space="preserve"> be occasions where this is not possible.  Mini-pupils are welcome to travel to another location to observe other barristers from these chambers in court, but the incidental expense of such travel cannot be reimbursed.</w:t>
      </w:r>
    </w:p>
    <w:p w14:paraId="3908932A" w14:textId="77777777" w:rsidR="007A2D11" w:rsidRPr="00AB5C8E" w:rsidRDefault="007A2D11" w:rsidP="003305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Mini-pupils must sign a confidentiality undertaking before starting their week at chambers, further details of which will be provided upon an offer being made.</w:t>
      </w:r>
    </w:p>
    <w:p w14:paraId="190285BB" w14:textId="77777777" w:rsidR="007A2D11" w:rsidRPr="00AB5C8E" w:rsidRDefault="00A17D81" w:rsidP="003305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Mini-pupils are required to attend in business dress.</w:t>
      </w:r>
    </w:p>
    <w:p w14:paraId="10D117C0" w14:textId="77777777" w:rsidR="00A17D81" w:rsidRPr="00AB5C8E" w:rsidRDefault="00A17D81" w:rsidP="003305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Feedback on any mini-pupillage experience is welcome and should be directed to the mini-pupillage coordinator using the application email address (see below).</w:t>
      </w:r>
    </w:p>
    <w:p w14:paraId="4088D8CC" w14:textId="77777777" w:rsidR="00A17D81" w:rsidRPr="00AB5C8E" w:rsidRDefault="000E6A08" w:rsidP="003305A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Please note that chambers does</w:t>
      </w:r>
      <w:r w:rsidR="00A17D81" w:rsidRPr="00AB5C8E">
        <w:rPr>
          <w:rFonts w:ascii="Gotham Medium" w:hAnsi="Gotham Medium"/>
          <w:sz w:val="24"/>
        </w:rPr>
        <w:t xml:space="preserve"> not operate a separate scheme of work experience and is unable to consider applications from school pupils for such opportunities.</w:t>
      </w:r>
    </w:p>
    <w:p w14:paraId="5CF1DEDA" w14:textId="77777777" w:rsidR="00A17D81" w:rsidRPr="00AB5C8E" w:rsidRDefault="00A17D81" w:rsidP="00A17D81">
      <w:pPr>
        <w:pStyle w:val="ListParagraph"/>
        <w:spacing w:line="360" w:lineRule="auto"/>
        <w:ind w:left="0"/>
        <w:jc w:val="both"/>
        <w:rPr>
          <w:rFonts w:ascii="Gotham Medium" w:hAnsi="Gotham Medium"/>
          <w:b/>
          <w:sz w:val="24"/>
        </w:rPr>
      </w:pPr>
    </w:p>
    <w:p w14:paraId="45FF3BBE" w14:textId="77777777" w:rsidR="00A17D81" w:rsidRPr="00AB5C8E" w:rsidRDefault="00A17D81" w:rsidP="00A17D81">
      <w:pPr>
        <w:pStyle w:val="ListParagraph"/>
        <w:spacing w:line="360" w:lineRule="auto"/>
        <w:ind w:left="0"/>
        <w:jc w:val="both"/>
        <w:rPr>
          <w:rFonts w:ascii="Gotham Medium" w:hAnsi="Gotham Medium"/>
          <w:b/>
          <w:sz w:val="24"/>
        </w:rPr>
      </w:pPr>
      <w:r w:rsidRPr="00AB5C8E">
        <w:rPr>
          <w:rFonts w:ascii="Gotham Medium" w:hAnsi="Gotham Medium"/>
          <w:b/>
          <w:sz w:val="24"/>
        </w:rPr>
        <w:t>Eligibility requirements</w:t>
      </w:r>
    </w:p>
    <w:p w14:paraId="6BA3CD19" w14:textId="77777777" w:rsidR="00A17D81" w:rsidRPr="00AB5C8E" w:rsidRDefault="00A17D81" w:rsidP="00A17D81">
      <w:pPr>
        <w:pStyle w:val="ListParagraph"/>
        <w:spacing w:line="360" w:lineRule="auto"/>
        <w:ind w:left="0"/>
        <w:jc w:val="both"/>
        <w:rPr>
          <w:rFonts w:ascii="Gotham Medium" w:hAnsi="Gotham Medium"/>
          <w:sz w:val="24"/>
        </w:rPr>
      </w:pPr>
    </w:p>
    <w:p w14:paraId="06003990" w14:textId="77777777" w:rsidR="00A17D81" w:rsidRPr="00AB5C8E" w:rsidRDefault="00A17D81" w:rsidP="00A17D81">
      <w:pPr>
        <w:pStyle w:val="ListParagraph"/>
        <w:spacing w:line="360" w:lineRule="auto"/>
        <w:ind w:left="0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 xml:space="preserve">Owing to the </w:t>
      </w:r>
      <w:r w:rsidR="00694943" w:rsidRPr="00AB5C8E">
        <w:rPr>
          <w:rFonts w:ascii="Gotham Medium" w:hAnsi="Gotham Medium"/>
          <w:sz w:val="24"/>
        </w:rPr>
        <w:t xml:space="preserve">large </w:t>
      </w:r>
      <w:r w:rsidRPr="00AB5C8E">
        <w:rPr>
          <w:rFonts w:ascii="Gotham Medium" w:hAnsi="Gotham Medium"/>
          <w:sz w:val="24"/>
        </w:rPr>
        <w:t xml:space="preserve">volume of applications received, chambers restricts </w:t>
      </w:r>
      <w:r w:rsidR="008F3E66" w:rsidRPr="00AB5C8E">
        <w:rPr>
          <w:rFonts w:ascii="Gotham Medium" w:hAnsi="Gotham Medium"/>
          <w:sz w:val="24"/>
        </w:rPr>
        <w:t>mini-pupillages to th</w:t>
      </w:r>
      <w:r w:rsidR="00694943" w:rsidRPr="00AB5C8E">
        <w:rPr>
          <w:rFonts w:ascii="Gotham Medium" w:hAnsi="Gotham Medium"/>
          <w:sz w:val="24"/>
        </w:rPr>
        <w:t>ose meeting th</w:t>
      </w:r>
      <w:r w:rsidR="008F3E66" w:rsidRPr="00AB5C8E">
        <w:rPr>
          <w:rFonts w:ascii="Gotham Medium" w:hAnsi="Gotham Medium"/>
          <w:sz w:val="24"/>
        </w:rPr>
        <w:t>e following minimum eligibility requirements.</w:t>
      </w:r>
    </w:p>
    <w:p w14:paraId="51ACF7FE" w14:textId="77777777" w:rsidR="008F3E66" w:rsidRPr="00AB5C8E" w:rsidRDefault="008F3E66" w:rsidP="00A17D81">
      <w:pPr>
        <w:pStyle w:val="ListParagraph"/>
        <w:spacing w:line="360" w:lineRule="auto"/>
        <w:ind w:left="0"/>
        <w:jc w:val="both"/>
        <w:rPr>
          <w:rFonts w:ascii="Gotham Medium" w:hAnsi="Gotham Medium"/>
          <w:sz w:val="24"/>
        </w:rPr>
      </w:pPr>
    </w:p>
    <w:p w14:paraId="73B2AB54" w14:textId="77777777" w:rsidR="008F3E66" w:rsidRPr="00AB5C8E" w:rsidRDefault="008F3E66" w:rsidP="00A17D81">
      <w:pPr>
        <w:pStyle w:val="ListParagraph"/>
        <w:spacing w:line="360" w:lineRule="auto"/>
        <w:ind w:left="0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The applicant must at least:</w:t>
      </w:r>
    </w:p>
    <w:p w14:paraId="2863B07A" w14:textId="77777777" w:rsidR="008F3E66" w:rsidRPr="00AB5C8E" w:rsidRDefault="008F3E66" w:rsidP="00A17D81">
      <w:pPr>
        <w:pStyle w:val="ListParagraph"/>
        <w:spacing w:line="360" w:lineRule="auto"/>
        <w:ind w:left="0"/>
        <w:jc w:val="both"/>
        <w:rPr>
          <w:rFonts w:ascii="Gotham Medium" w:hAnsi="Gotham Medium"/>
          <w:sz w:val="24"/>
        </w:rPr>
      </w:pPr>
    </w:p>
    <w:p w14:paraId="1375EEA5" w14:textId="77777777" w:rsidR="008F3E66" w:rsidRPr="00AB5C8E" w:rsidRDefault="008F3E66" w:rsidP="008F3E6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Be 18 years old at the time of application; and</w:t>
      </w:r>
    </w:p>
    <w:p w14:paraId="2E50FDDE" w14:textId="77777777" w:rsidR="008F3E66" w:rsidRPr="00AB5C8E" w:rsidRDefault="008F3E66" w:rsidP="008F3E6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 xml:space="preserve">Have, at the time of application, commenced the second year of any undergraduate degree at a university or college of higher education AND be able to provide at least one mark from an assessed piece of </w:t>
      </w:r>
      <w:r w:rsidRPr="00AB5C8E">
        <w:rPr>
          <w:rFonts w:ascii="Gotham Medium" w:hAnsi="Gotham Medium"/>
          <w:sz w:val="24"/>
        </w:rPr>
        <w:lastRenderedPageBreak/>
        <w:t>work (whether the assessment is summative or formative) from that course.</w:t>
      </w:r>
    </w:p>
    <w:p w14:paraId="742803E3" w14:textId="77777777" w:rsidR="00A17D81" w:rsidRPr="00AB5C8E" w:rsidRDefault="00A17D81" w:rsidP="00A17D81">
      <w:pPr>
        <w:pStyle w:val="ListParagraph"/>
        <w:spacing w:line="360" w:lineRule="auto"/>
        <w:ind w:left="0"/>
        <w:jc w:val="both"/>
        <w:rPr>
          <w:rFonts w:ascii="Gotham Medium" w:hAnsi="Gotham Medium"/>
          <w:b/>
          <w:sz w:val="24"/>
        </w:rPr>
      </w:pPr>
    </w:p>
    <w:p w14:paraId="3E2A1E4A" w14:textId="77777777" w:rsidR="00A17D81" w:rsidRPr="00AB5C8E" w:rsidRDefault="0035038B" w:rsidP="00A17D81">
      <w:pPr>
        <w:pStyle w:val="ListParagraph"/>
        <w:spacing w:line="360" w:lineRule="auto"/>
        <w:ind w:left="0"/>
        <w:jc w:val="both"/>
        <w:rPr>
          <w:rFonts w:ascii="Gotham Medium" w:hAnsi="Gotham Medium"/>
          <w:b/>
          <w:sz w:val="24"/>
        </w:rPr>
      </w:pPr>
      <w:r w:rsidRPr="00AB5C8E">
        <w:rPr>
          <w:rFonts w:ascii="Gotham Medium" w:hAnsi="Gotham Medium"/>
          <w:b/>
          <w:sz w:val="24"/>
        </w:rPr>
        <w:t>Equality and Diversity</w:t>
      </w:r>
    </w:p>
    <w:p w14:paraId="70D8DC6A" w14:textId="77777777" w:rsidR="00A17D81" w:rsidRPr="00AB5C8E" w:rsidRDefault="00A17D81" w:rsidP="00A17D81">
      <w:pPr>
        <w:pStyle w:val="ListParagraph"/>
        <w:spacing w:line="360" w:lineRule="auto"/>
        <w:ind w:left="0"/>
        <w:jc w:val="both"/>
        <w:rPr>
          <w:rFonts w:ascii="Gotham Medium" w:hAnsi="Gotham Medium"/>
          <w:sz w:val="24"/>
        </w:rPr>
      </w:pPr>
    </w:p>
    <w:p w14:paraId="4A8CBF0D" w14:textId="77777777" w:rsidR="00A17D81" w:rsidRPr="00AB5C8E" w:rsidRDefault="00A17D81" w:rsidP="00A17D81">
      <w:pPr>
        <w:pStyle w:val="ListParagraph"/>
        <w:spacing w:line="360" w:lineRule="auto"/>
        <w:ind w:left="0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Chambers operates an open and fair competition for mini-pupillages places.</w:t>
      </w:r>
      <w:r w:rsidR="0035038B" w:rsidRPr="00AB5C8E">
        <w:rPr>
          <w:rFonts w:ascii="Gotham Medium" w:hAnsi="Gotham Medium"/>
          <w:sz w:val="28"/>
        </w:rPr>
        <w:t xml:space="preserve">  </w:t>
      </w:r>
      <w:r w:rsidRPr="00AB5C8E">
        <w:rPr>
          <w:rFonts w:ascii="Gotham Medium" w:hAnsi="Gotham Medium"/>
          <w:sz w:val="28"/>
        </w:rPr>
        <w:t xml:space="preserve"> </w:t>
      </w:r>
      <w:r w:rsidR="0035038B" w:rsidRPr="00AB5C8E">
        <w:rPr>
          <w:rFonts w:ascii="Gotham Medium" w:hAnsi="Gotham Medium"/>
          <w:sz w:val="24"/>
        </w:rPr>
        <w:t xml:space="preserve">Chambers is totally committed to its policy of equality of opportunity and diversity and is keen to encourage applications from individuals from ethnic minority groups or who may have a disability. If anyone with a disability who is contemplating applying for mini-pupillage is concerned about accessibility issues they are welcome to discuss the matter in the first instance with Yvonne May, who can be reached on 01473 346137 or by e-mail to </w:t>
      </w:r>
      <w:hyperlink r:id="rId6" w:history="1">
        <w:r w:rsidR="0035038B" w:rsidRPr="00AB5C8E">
          <w:rPr>
            <w:rStyle w:val="Hyperlink"/>
            <w:rFonts w:ascii="Gotham Medium" w:hAnsi="Gotham Medium"/>
            <w:sz w:val="24"/>
          </w:rPr>
          <w:t>ymay@ealaw.co.uk</w:t>
        </w:r>
      </w:hyperlink>
    </w:p>
    <w:p w14:paraId="148A28F9" w14:textId="77777777" w:rsidR="000E6A08" w:rsidRPr="00AB5C8E" w:rsidRDefault="000E6A08" w:rsidP="0035038B">
      <w:pPr>
        <w:pStyle w:val="ListParagraph"/>
        <w:spacing w:line="360" w:lineRule="auto"/>
        <w:ind w:left="0"/>
        <w:jc w:val="both"/>
        <w:rPr>
          <w:rFonts w:ascii="Gotham Medium" w:hAnsi="Gotham Medium"/>
          <w:b/>
          <w:sz w:val="24"/>
        </w:rPr>
      </w:pPr>
    </w:p>
    <w:p w14:paraId="1352845E" w14:textId="77777777" w:rsidR="00A17D81" w:rsidRPr="00AB5C8E" w:rsidRDefault="0035038B" w:rsidP="0035038B">
      <w:pPr>
        <w:pStyle w:val="ListParagraph"/>
        <w:spacing w:line="360" w:lineRule="auto"/>
        <w:ind w:left="0"/>
        <w:jc w:val="both"/>
        <w:rPr>
          <w:rFonts w:ascii="Gotham Medium" w:hAnsi="Gotham Medium"/>
          <w:b/>
          <w:sz w:val="24"/>
        </w:rPr>
      </w:pPr>
      <w:r w:rsidRPr="00AB5C8E">
        <w:rPr>
          <w:rFonts w:ascii="Gotham Medium" w:hAnsi="Gotham Medium"/>
          <w:b/>
          <w:sz w:val="24"/>
        </w:rPr>
        <w:t>Selection criteria</w:t>
      </w:r>
    </w:p>
    <w:p w14:paraId="5FACCE8E" w14:textId="77777777" w:rsidR="0035038B" w:rsidRPr="00AB5C8E" w:rsidRDefault="0035038B" w:rsidP="0035038B">
      <w:pPr>
        <w:pStyle w:val="ListParagraph"/>
        <w:spacing w:line="360" w:lineRule="auto"/>
        <w:ind w:left="0"/>
        <w:jc w:val="both"/>
        <w:rPr>
          <w:rFonts w:ascii="Gotham Medium" w:hAnsi="Gotham Medium"/>
          <w:b/>
          <w:sz w:val="24"/>
        </w:rPr>
      </w:pPr>
    </w:p>
    <w:p w14:paraId="037D1793" w14:textId="77777777" w:rsidR="0035038B" w:rsidRPr="00AB5C8E" w:rsidRDefault="0056429C" w:rsidP="0035038B">
      <w:pPr>
        <w:pStyle w:val="ListParagraph"/>
        <w:spacing w:line="360" w:lineRule="auto"/>
        <w:ind w:left="0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Applications</w:t>
      </w:r>
      <w:r w:rsidR="0035038B" w:rsidRPr="00AB5C8E">
        <w:rPr>
          <w:rFonts w:ascii="Gotham Medium" w:hAnsi="Gotham Medium"/>
          <w:sz w:val="24"/>
        </w:rPr>
        <w:t xml:space="preserve"> which meet the minimum eligibility criteria (set out above) will be assessed using the following criteria</w:t>
      </w:r>
      <w:r w:rsidRPr="00AB5C8E">
        <w:rPr>
          <w:rFonts w:ascii="Gotham Medium" w:hAnsi="Gotham Medium"/>
          <w:sz w:val="24"/>
        </w:rPr>
        <w:t xml:space="preserve"> (ranked in importance)</w:t>
      </w:r>
      <w:r w:rsidR="0035038B" w:rsidRPr="00AB5C8E">
        <w:rPr>
          <w:rFonts w:ascii="Gotham Medium" w:hAnsi="Gotham Medium"/>
          <w:sz w:val="24"/>
        </w:rPr>
        <w:t>:</w:t>
      </w:r>
    </w:p>
    <w:p w14:paraId="70FE0AC9" w14:textId="77777777" w:rsidR="0035038B" w:rsidRPr="00AB5C8E" w:rsidRDefault="0035038B" w:rsidP="0035038B">
      <w:pPr>
        <w:pStyle w:val="ListParagraph"/>
        <w:spacing w:line="360" w:lineRule="auto"/>
        <w:ind w:left="0"/>
        <w:jc w:val="both"/>
        <w:rPr>
          <w:rFonts w:ascii="Gotham Medium" w:hAnsi="Gotham Medium"/>
          <w:sz w:val="24"/>
          <w:szCs w:val="24"/>
        </w:rPr>
      </w:pPr>
    </w:p>
    <w:p w14:paraId="5CF0BD8D" w14:textId="77777777" w:rsidR="0056429C" w:rsidRPr="00AB5C8E" w:rsidRDefault="0035038B" w:rsidP="005642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  <w:szCs w:val="24"/>
        </w:rPr>
        <w:t>Academic ability</w:t>
      </w:r>
      <w:r w:rsidR="0056429C" w:rsidRPr="00AB5C8E">
        <w:rPr>
          <w:rFonts w:ascii="Gotham Medium" w:hAnsi="Gotham Medium"/>
          <w:sz w:val="20"/>
        </w:rPr>
        <w:t xml:space="preserve"> (normally evidenced by demonstrating at least an Upper Second (First Division) in the applicant’s first degree or the units undertaken at the time of application)</w:t>
      </w:r>
      <w:r w:rsidR="0056429C" w:rsidRPr="00AB5C8E">
        <w:rPr>
          <w:rFonts w:ascii="Gotham Medium" w:hAnsi="Gotham Medium"/>
          <w:sz w:val="24"/>
        </w:rPr>
        <w:t>;</w:t>
      </w:r>
    </w:p>
    <w:p w14:paraId="1AA49FDE" w14:textId="77777777" w:rsidR="0056429C" w:rsidRPr="00AB5C8E" w:rsidRDefault="0056429C" w:rsidP="0056429C">
      <w:pPr>
        <w:pStyle w:val="ListParagraph"/>
        <w:spacing w:line="360" w:lineRule="auto"/>
        <w:ind w:left="1080"/>
        <w:jc w:val="both"/>
        <w:rPr>
          <w:rFonts w:ascii="Gotham Medium" w:hAnsi="Gotham Medium"/>
          <w:sz w:val="24"/>
        </w:rPr>
      </w:pPr>
    </w:p>
    <w:p w14:paraId="3895D2BA" w14:textId="77777777" w:rsidR="0056429C" w:rsidRPr="00AB5C8E" w:rsidRDefault="0056429C" w:rsidP="005642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Interest in a career in law and, specifically, the Bar</w:t>
      </w:r>
      <w:r w:rsidR="000E6A08" w:rsidRPr="00AB5C8E">
        <w:rPr>
          <w:rFonts w:ascii="Gotham Medium" w:hAnsi="Gotham Medium"/>
          <w:sz w:val="24"/>
        </w:rPr>
        <w:t>;</w:t>
      </w:r>
    </w:p>
    <w:p w14:paraId="66C2038F" w14:textId="77777777" w:rsidR="0056429C" w:rsidRPr="00AB5C8E" w:rsidRDefault="0056429C" w:rsidP="0056429C">
      <w:pPr>
        <w:pStyle w:val="ListParagraph"/>
        <w:rPr>
          <w:rFonts w:ascii="Gotham Medium" w:hAnsi="Gotham Medium"/>
          <w:sz w:val="24"/>
        </w:rPr>
      </w:pPr>
    </w:p>
    <w:p w14:paraId="3C0F648F" w14:textId="77777777" w:rsidR="0056429C" w:rsidRPr="00AB5C8E" w:rsidRDefault="0056429C" w:rsidP="005642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Interest in the East Anglian region and East Anglian Chambers</w:t>
      </w:r>
      <w:r w:rsidR="000E6A08" w:rsidRPr="00AB5C8E">
        <w:rPr>
          <w:rFonts w:ascii="Gotham Medium" w:hAnsi="Gotham Medium"/>
          <w:sz w:val="24"/>
        </w:rPr>
        <w:t>; and</w:t>
      </w:r>
    </w:p>
    <w:p w14:paraId="35919319" w14:textId="77777777" w:rsidR="0056429C" w:rsidRPr="00AB5C8E" w:rsidRDefault="0056429C" w:rsidP="0056429C">
      <w:pPr>
        <w:pStyle w:val="ListParagraph"/>
        <w:rPr>
          <w:rFonts w:ascii="Gotham Medium" w:hAnsi="Gotham Medium"/>
          <w:sz w:val="24"/>
        </w:rPr>
      </w:pPr>
    </w:p>
    <w:p w14:paraId="2CC4F50F" w14:textId="77777777" w:rsidR="0056429C" w:rsidRPr="00AB5C8E" w:rsidRDefault="0056429C" w:rsidP="005642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 xml:space="preserve">Presentation of the application.  </w:t>
      </w:r>
    </w:p>
    <w:p w14:paraId="04A4BF07" w14:textId="66ADE565" w:rsidR="000E6A08" w:rsidRDefault="000E6A08" w:rsidP="0056429C">
      <w:pPr>
        <w:spacing w:line="360" w:lineRule="auto"/>
        <w:jc w:val="both"/>
        <w:rPr>
          <w:rFonts w:ascii="Gotham Medium" w:hAnsi="Gotham Medium"/>
          <w:b/>
          <w:sz w:val="24"/>
        </w:rPr>
      </w:pPr>
    </w:p>
    <w:p w14:paraId="38462F2E" w14:textId="778CC93B" w:rsidR="00AB5C8E" w:rsidRDefault="00AB5C8E" w:rsidP="0056429C">
      <w:pPr>
        <w:spacing w:line="360" w:lineRule="auto"/>
        <w:jc w:val="both"/>
        <w:rPr>
          <w:rFonts w:ascii="Gotham Medium" w:hAnsi="Gotham Medium"/>
          <w:b/>
          <w:sz w:val="24"/>
        </w:rPr>
      </w:pPr>
    </w:p>
    <w:p w14:paraId="6F10CE3F" w14:textId="77777777" w:rsidR="00AB5C8E" w:rsidRPr="00AB5C8E" w:rsidRDefault="00AB5C8E" w:rsidP="0056429C">
      <w:pPr>
        <w:spacing w:line="360" w:lineRule="auto"/>
        <w:jc w:val="both"/>
        <w:rPr>
          <w:rFonts w:ascii="Gotham Medium" w:hAnsi="Gotham Medium"/>
          <w:b/>
          <w:sz w:val="24"/>
        </w:rPr>
      </w:pPr>
    </w:p>
    <w:p w14:paraId="3F412DCF" w14:textId="77777777" w:rsidR="0056429C" w:rsidRPr="00AB5C8E" w:rsidRDefault="0056429C" w:rsidP="0056429C">
      <w:pPr>
        <w:spacing w:line="360" w:lineRule="auto"/>
        <w:jc w:val="both"/>
        <w:rPr>
          <w:rFonts w:ascii="Gotham Medium" w:hAnsi="Gotham Medium"/>
          <w:b/>
          <w:sz w:val="24"/>
        </w:rPr>
      </w:pPr>
      <w:r w:rsidRPr="00AB5C8E">
        <w:rPr>
          <w:rFonts w:ascii="Gotham Medium" w:hAnsi="Gotham Medium"/>
          <w:b/>
          <w:sz w:val="24"/>
        </w:rPr>
        <w:lastRenderedPageBreak/>
        <w:t>Mode of application</w:t>
      </w:r>
    </w:p>
    <w:p w14:paraId="428735DE" w14:textId="77777777" w:rsidR="000E6A08" w:rsidRPr="00AB5C8E" w:rsidRDefault="0056429C" w:rsidP="0056429C">
      <w:pPr>
        <w:spacing w:line="360" w:lineRule="auto"/>
        <w:jc w:val="both"/>
        <w:rPr>
          <w:rFonts w:ascii="Gotham Medium" w:hAnsi="Gotham Medium"/>
          <w:sz w:val="24"/>
        </w:rPr>
      </w:pPr>
      <w:r w:rsidRPr="00AB5C8E">
        <w:rPr>
          <w:rFonts w:ascii="Gotham Medium" w:hAnsi="Gotham Medium"/>
          <w:sz w:val="24"/>
        </w:rPr>
        <w:t>All applications should be made by CV and covering letter/email directly to the Min</w:t>
      </w:r>
      <w:bookmarkStart w:id="0" w:name="_GoBack"/>
      <w:bookmarkEnd w:id="0"/>
      <w:r w:rsidRPr="00AB5C8E">
        <w:rPr>
          <w:rFonts w:ascii="Gotham Medium" w:hAnsi="Gotham Medium"/>
          <w:sz w:val="24"/>
        </w:rPr>
        <w:t>i-Pupillage Co</w:t>
      </w:r>
      <w:r w:rsidR="00694943" w:rsidRPr="00AB5C8E">
        <w:rPr>
          <w:rFonts w:ascii="Gotham Medium" w:hAnsi="Gotham Medium"/>
          <w:sz w:val="24"/>
        </w:rPr>
        <w:t>-</w:t>
      </w:r>
      <w:r w:rsidRPr="00AB5C8E">
        <w:rPr>
          <w:rFonts w:ascii="Gotham Medium" w:hAnsi="Gotham Medium"/>
          <w:sz w:val="24"/>
        </w:rPr>
        <w:t xml:space="preserve">ordinator at </w:t>
      </w:r>
      <w:hyperlink r:id="rId7" w:history="1">
        <w:r w:rsidRPr="00AB5C8E">
          <w:rPr>
            <w:rStyle w:val="Hyperlink"/>
            <w:rFonts w:ascii="Gotham Medium" w:hAnsi="Gotham Medium"/>
            <w:sz w:val="24"/>
          </w:rPr>
          <w:t>minipupillage@ealaw.co.uk</w:t>
        </w:r>
      </w:hyperlink>
      <w:r w:rsidR="000E6A08" w:rsidRPr="00AB5C8E">
        <w:rPr>
          <w:rFonts w:ascii="Gotham Medium" w:hAnsi="Gotham Medium"/>
          <w:sz w:val="24"/>
        </w:rPr>
        <w:t xml:space="preserve">.  Owing to the volume of applications frequently received, applicants should expect to wait between 3-6 weeks for a substantive response.  </w:t>
      </w:r>
    </w:p>
    <w:p w14:paraId="582A4D0E" w14:textId="77777777" w:rsidR="000E6A08" w:rsidRPr="00AB5C8E" w:rsidRDefault="000E6A08" w:rsidP="0056429C">
      <w:pPr>
        <w:spacing w:line="360" w:lineRule="auto"/>
        <w:jc w:val="both"/>
        <w:rPr>
          <w:rFonts w:ascii="Gotham Medium" w:hAnsi="Gotham Medium"/>
          <w:sz w:val="24"/>
        </w:rPr>
      </w:pPr>
    </w:p>
    <w:p w14:paraId="69DAEFE5" w14:textId="77777777" w:rsidR="000E6A08" w:rsidRPr="00AB5C8E" w:rsidRDefault="000E6A08" w:rsidP="0056429C">
      <w:pPr>
        <w:spacing w:line="360" w:lineRule="auto"/>
        <w:jc w:val="both"/>
        <w:rPr>
          <w:rFonts w:ascii="Gotham Medium" w:hAnsi="Gotham Medium"/>
          <w:sz w:val="24"/>
        </w:rPr>
      </w:pPr>
    </w:p>
    <w:p w14:paraId="0E4CAF2A" w14:textId="6581870A" w:rsidR="000E6A08" w:rsidRPr="00AB5C8E" w:rsidRDefault="00AB5C8E" w:rsidP="0056429C">
      <w:pPr>
        <w:spacing w:line="360" w:lineRule="auto"/>
        <w:jc w:val="both"/>
        <w:rPr>
          <w:rFonts w:ascii="Gotham Medium" w:hAnsi="Gotham Medium"/>
          <w:sz w:val="24"/>
        </w:rPr>
      </w:pPr>
      <w:r>
        <w:rPr>
          <w:rFonts w:ascii="Gotham Medium" w:hAnsi="Gotham Medium"/>
          <w:sz w:val="24"/>
        </w:rPr>
        <w:t>November</w:t>
      </w:r>
      <w:r w:rsidR="00694943" w:rsidRPr="00AB5C8E">
        <w:rPr>
          <w:rFonts w:ascii="Gotham Medium" w:hAnsi="Gotham Medium"/>
          <w:sz w:val="24"/>
        </w:rPr>
        <w:t xml:space="preserve"> 201</w:t>
      </w:r>
      <w:r>
        <w:rPr>
          <w:rFonts w:ascii="Gotham Medium" w:hAnsi="Gotham Medium"/>
          <w:sz w:val="24"/>
        </w:rPr>
        <w:t>8</w:t>
      </w:r>
    </w:p>
    <w:sectPr w:rsidR="000E6A08" w:rsidRPr="00AB5C8E" w:rsidSect="00D82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6CA"/>
    <w:multiLevelType w:val="hybridMultilevel"/>
    <w:tmpl w:val="CA9C6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1AB0"/>
    <w:multiLevelType w:val="hybridMultilevel"/>
    <w:tmpl w:val="6BB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C0A1E"/>
    <w:multiLevelType w:val="hybridMultilevel"/>
    <w:tmpl w:val="8F9C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15A83"/>
    <w:multiLevelType w:val="hybridMultilevel"/>
    <w:tmpl w:val="215C29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A7"/>
    <w:rsid w:val="000E6A08"/>
    <w:rsid w:val="003305A7"/>
    <w:rsid w:val="0035038B"/>
    <w:rsid w:val="00475E32"/>
    <w:rsid w:val="0056429C"/>
    <w:rsid w:val="00694943"/>
    <w:rsid w:val="007A2D11"/>
    <w:rsid w:val="007D1CBE"/>
    <w:rsid w:val="008F3E66"/>
    <w:rsid w:val="00A17D81"/>
    <w:rsid w:val="00AB5C8E"/>
    <w:rsid w:val="00D82445"/>
    <w:rsid w:val="00D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EF31"/>
  <w15:docId w15:val="{0964C067-3C88-4AD9-ACBD-BF6E3EA4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pupillage@eala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ay@ealaw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Graham Sinclair</cp:lastModifiedBy>
  <cp:revision>2</cp:revision>
  <dcterms:created xsi:type="dcterms:W3CDTF">2018-11-01T17:14:00Z</dcterms:created>
  <dcterms:modified xsi:type="dcterms:W3CDTF">2018-11-01T17:14:00Z</dcterms:modified>
</cp:coreProperties>
</file>